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9F82" w14:textId="7E9FAA2B" w:rsidR="00302B4E" w:rsidRPr="003A06A0" w:rsidRDefault="00F80D66" w:rsidP="00F80D66">
      <w:pPr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Tổng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quan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52A04">
        <w:rPr>
          <w:rFonts w:cs="Times New Roman"/>
          <w:b/>
          <w:bCs/>
          <w:color w:val="000000" w:themeColor="text1"/>
          <w:sz w:val="26"/>
          <w:szCs w:val="26"/>
        </w:rPr>
        <w:t>nông</w:t>
      </w:r>
      <w:proofErr w:type="spellEnd"/>
      <w:r w:rsidR="00B52A04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52A04">
        <w:rPr>
          <w:rFonts w:cs="Times New Roman"/>
          <w:b/>
          <w:bCs/>
          <w:color w:val="000000" w:themeColor="text1"/>
          <w:sz w:val="26"/>
          <w:szCs w:val="26"/>
        </w:rPr>
        <w:t>dân</w:t>
      </w:r>
      <w:proofErr w:type="spellEnd"/>
      <w:r w:rsidR="00B52A04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tại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Việt Nam</w:t>
      </w:r>
      <w:r w:rsidR="001B784F">
        <w:rPr>
          <w:rFonts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="001B784F">
        <w:rPr>
          <w:rFonts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1B784F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B784F">
        <w:rPr>
          <w:rFonts w:cs="Times New Roman"/>
          <w:b/>
          <w:bCs/>
          <w:color w:val="000000" w:themeColor="text1"/>
          <w:sz w:val="26"/>
          <w:szCs w:val="26"/>
        </w:rPr>
        <w:t>vấn</w:t>
      </w:r>
      <w:proofErr w:type="spellEnd"/>
      <w:r w:rsidR="001B784F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B784F">
        <w:rPr>
          <w:rFonts w:cs="Times New Roman"/>
          <w:b/>
          <w:bCs/>
          <w:color w:val="000000" w:themeColor="text1"/>
          <w:sz w:val="26"/>
          <w:szCs w:val="26"/>
        </w:rPr>
        <w:t>đề</w:t>
      </w:r>
      <w:proofErr w:type="spellEnd"/>
      <w:r w:rsidR="001B784F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2E521B">
        <w:rPr>
          <w:rFonts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="002E521B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2E521B">
        <w:rPr>
          <w:rFonts w:cs="Times New Roman"/>
          <w:b/>
          <w:bCs/>
          <w:color w:val="000000" w:themeColor="text1"/>
          <w:sz w:val="26"/>
          <w:szCs w:val="26"/>
        </w:rPr>
        <w:t>sách</w:t>
      </w:r>
      <w:proofErr w:type="spellEnd"/>
      <w:r w:rsidR="002E521B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khuyến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hoàn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thiện</w:t>
      </w:r>
      <w:proofErr w:type="spellEnd"/>
    </w:p>
    <w:p w14:paraId="3BFD3320" w14:textId="0E138317" w:rsidR="00F80D66" w:rsidRPr="003A06A0" w:rsidRDefault="00F80D66" w:rsidP="00F80D66">
      <w:pPr>
        <w:pStyle w:val="Heading1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Giới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thiệu</w:t>
      </w:r>
      <w:proofErr w:type="spellEnd"/>
    </w:p>
    <w:p w14:paraId="2DE4FEB7" w14:textId="62519724" w:rsidR="00F80D66" w:rsidRPr="003A06A0" w:rsidRDefault="00F80D66" w:rsidP="00F80D66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Đổi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nay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luôn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khẳng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đỡ</w:t>
      </w:r>
      <w:proofErr w:type="spellEnd"/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đoạn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Trong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tranh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trung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tâm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gắn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rừng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Theo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Tổng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kê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(2022),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khoảng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62,4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chiếm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62,7%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phần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lâm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đảm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an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ổn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gìn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sắc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hóa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5640EC1E" w14:textId="41C0A58B" w:rsidR="00F80D66" w:rsidRPr="003A06A0" w:rsidRDefault="00F80D66" w:rsidP="00F80D66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trò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kỷ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qua,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trọng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55/2015/NĐ-CP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98/2018/NĐ-CP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khuyến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58/2018/NĐ-CP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1956/QĐ-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TTg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cùng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loạt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sở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tầng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…</w:t>
      </w:r>
    </w:p>
    <w:p w14:paraId="1478D039" w14:textId="13AF28E5" w:rsidR="00F80D66" w:rsidRPr="003A06A0" w:rsidRDefault="00F80D66" w:rsidP="00F80D66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Tuy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những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2,3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lần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2013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2022 (TCTK, 2023),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tỷ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nghèo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giảm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tồn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những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manh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mún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nhỏ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lẻ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phổ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50%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chịu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xâm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mặn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(Ngân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2023);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tỷ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ưu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chéo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nguồn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kịp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yêu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tranh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tổng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toàn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lâm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góc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nhìn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hưởng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6BC391D5" w14:textId="34549D96" w:rsidR="00F80D66" w:rsidRPr="003A06A0" w:rsidRDefault="00F80D66" w:rsidP="00F80D66">
      <w:pPr>
        <w:pStyle w:val="Heading1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Hệ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lâm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thuỷ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giai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đoạn</w:t>
      </w:r>
      <w:proofErr w:type="spellEnd"/>
      <w:r w:rsidRPr="003A06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2013-2024</w:t>
      </w:r>
    </w:p>
    <w:p w14:paraId="169315EC" w14:textId="3D6D72CA" w:rsidR="00F80D66" w:rsidRPr="003A06A0" w:rsidRDefault="00F80D66" w:rsidP="00F80D66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Trong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đoạn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2013–2023,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doanh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lâm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(NLTS) ở Việt Nam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hoàn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toàn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bao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nhóm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tâm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trò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đỡ</w:t>
      </w:r>
      <w:proofErr w:type="spellEnd"/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quốc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khổ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Tổ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Thương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(WTO)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loại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hộp</w:t>
      </w:r>
      <w:proofErr w:type="spellEnd"/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 (Green Box, Blue Box, Amber Box).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tổng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nhóm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30A96107" w14:textId="3FD5FB36" w:rsidR="00F80D66" w:rsidRPr="003A06A0" w:rsidRDefault="00F80D66" w:rsidP="00F80D66">
      <w:pPr>
        <w:pStyle w:val="Heading2"/>
        <w:numPr>
          <w:ilvl w:val="1"/>
          <w:numId w:val="2"/>
        </w:numP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proofErr w:type="spellStart"/>
      <w:r w:rsidRPr="003A06A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lastRenderedPageBreak/>
        <w:t>Nhóm</w:t>
      </w:r>
      <w:proofErr w:type="spellEnd"/>
      <w:r w:rsidRPr="003A06A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trực</w:t>
      </w:r>
      <w:proofErr w:type="spellEnd"/>
      <w:r w:rsidRPr="003A06A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tiếp</w:t>
      </w:r>
      <w:proofErr w:type="spellEnd"/>
    </w:p>
    <w:p w14:paraId="33CB7B8F" w14:textId="64BC3617" w:rsidR="00F80D66" w:rsidRPr="003A06A0" w:rsidRDefault="00F80D66" w:rsidP="00F80D66">
      <w:pPr>
        <w:pStyle w:val="Heading3"/>
        <w:numPr>
          <w:ilvl w:val="0"/>
          <w:numId w:val="4"/>
        </w:numP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spellStart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tài</w:t>
      </w:r>
      <w:proofErr w:type="spellEnd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dụng</w:t>
      </w:r>
      <w:proofErr w:type="spellEnd"/>
    </w:p>
    <w:p w14:paraId="332B393F" w14:textId="1DADC550" w:rsidR="00F80D66" w:rsidRPr="003A06A0" w:rsidRDefault="00F80D66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nhóm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vọng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cú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hích</w:t>
      </w:r>
      <w:proofErr w:type="spellEnd"/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cấu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trọng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gồm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:</w:t>
      </w:r>
      <w:r w:rsid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55/2015/NĐ-CP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116/2018/NĐ-CP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sửa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đổi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bổ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sung)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phép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đảm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100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rủi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khoanh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xóa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gặp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tai,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dịch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bệnh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Ngoài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khuyến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mô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chuỗi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miễn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giảm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miễn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28/2016/QH14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107/2020/QH15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kéo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2025);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miễn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NLTS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miễn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(VAT)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bón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nuôi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nuôi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... 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67/2014/NĐ-CP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vốn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đóng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tàu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xa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bờ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ưu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20/2017/QĐ-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TTg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mô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nghèo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503C93EF" w14:textId="77777777" w:rsidR="00F80D66" w:rsidRPr="003A06A0" w:rsidRDefault="00F80D66" w:rsidP="00F80D66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Thành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tựu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:</w:t>
      </w:r>
    </w:p>
    <w:p w14:paraId="1AFB2EDD" w14:textId="3A3B92ED" w:rsidR="00F80D66" w:rsidRPr="003A06A0" w:rsidRDefault="00F80D66" w:rsidP="00F80D66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tổng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đoạn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2016–2020,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trưởng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18,17%/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chung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cuối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2020,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226.197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tỷ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21,5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lượt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nghèo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vốn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Ngân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đóng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trò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nòng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cốt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chiếm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90%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tổng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536D3BA5" w14:textId="31418943" w:rsidR="00F80D66" w:rsidRPr="003A06A0" w:rsidRDefault="00F80D66" w:rsidP="00F80D66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Tuy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vốn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yêu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khoản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chu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3033FCDB" w14:textId="56F833BE" w:rsidR="00F80D66" w:rsidRPr="00B30FC7" w:rsidRDefault="00F80D66" w:rsidP="00F80D66">
      <w:pPr>
        <w:pStyle w:val="Heading3"/>
        <w:numPr>
          <w:ilvl w:val="0"/>
          <w:numId w:val="4"/>
        </w:numP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sách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hỗ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trợ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đầu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vào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sản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xuất</w:t>
      </w:r>
      <w:proofErr w:type="spellEnd"/>
    </w:p>
    <w:p w14:paraId="50F28DC3" w14:textId="650EA4C3" w:rsidR="00F80D66" w:rsidRPr="003A06A0" w:rsidRDefault="00F80D66" w:rsidP="00F80D66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Việt Nam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mọi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Thay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135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551/QĐ-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TTg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bón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vùng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tộc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thiểu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83/2018/NĐ-CP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khuyến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mô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diễn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50%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100% chi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tùy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bàn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109/2018/NĐ-CP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hữu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bón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hữu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thuốc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mô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hữu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lúa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112/2024/NĐ-CP)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1,5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/ha/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chuyên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lúa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043561C9" w14:textId="77777777" w:rsidR="00F80D66" w:rsidRPr="003A06A0" w:rsidRDefault="00F80D66" w:rsidP="00F80D66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Thành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tựu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:</w:t>
      </w:r>
    </w:p>
    <w:p w14:paraId="0EF51DBC" w14:textId="77777777" w:rsidR="00F80D66" w:rsidRPr="003A06A0" w:rsidRDefault="00F80D66" w:rsidP="00F80D66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góp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phần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đổi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tộc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thiểu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Tuy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lastRenderedPageBreak/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mang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nhỏ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lẻ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ghép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tốt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muốn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hóa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yêu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63B211D0" w14:textId="5EAF2C2F" w:rsidR="00F80D66" w:rsidRPr="00B30FC7" w:rsidRDefault="00F80D66" w:rsidP="00F80D66">
      <w:pPr>
        <w:pStyle w:val="Heading3"/>
        <w:numPr>
          <w:ilvl w:val="0"/>
          <w:numId w:val="4"/>
        </w:numP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sách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hỗ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trợ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kỹ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thuật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đào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tạo</w:t>
      </w:r>
      <w:proofErr w:type="spellEnd"/>
    </w:p>
    <w:p w14:paraId="0698B275" w14:textId="6E7D0152" w:rsidR="00F80D66" w:rsidRPr="003A06A0" w:rsidRDefault="00F80D66" w:rsidP="00F80D66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Đào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1956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1956/QĐ-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TTg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bổ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971/QĐ-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TTg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mỗi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ưu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nghèo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tộc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thiểu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83/2018/NĐ-CP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khuyến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chuyển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huấn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mô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diễn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doanh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nhỏ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vừa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45/2021/NĐ-CP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80/2021/NĐ-CP.</w:t>
      </w:r>
    </w:p>
    <w:p w14:paraId="2B02E5AE" w14:textId="77777777" w:rsidR="00F80D66" w:rsidRPr="003A06A0" w:rsidRDefault="00F80D66" w:rsidP="00F80D66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Thành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tựu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:</w:t>
      </w:r>
    </w:p>
    <w:p w14:paraId="0310C664" w14:textId="1BEBFCB6" w:rsidR="00F80D66" w:rsidRPr="003A06A0" w:rsidRDefault="00F80D66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2023,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gần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10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4,5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1956,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tỷ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86,5%. 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góp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phần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mô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1296B025" w14:textId="474A9D7F" w:rsidR="00F80D66" w:rsidRPr="003A06A0" w:rsidRDefault="00F80D66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Tuy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ngắn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ngũ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lớp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huấn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tổ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mùa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rộn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sắp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tham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chuỗi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39F03DC1" w14:textId="2FD45ECC" w:rsidR="00F80D66" w:rsidRPr="00B30FC7" w:rsidRDefault="00F80D66" w:rsidP="00215FE2">
      <w:pPr>
        <w:pStyle w:val="Heading3"/>
        <w:numPr>
          <w:ilvl w:val="0"/>
          <w:numId w:val="4"/>
        </w:numP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sách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hỗ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trợ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giảm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nhẹ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rủi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ro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thiên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tai,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dịch</w:t>
      </w:r>
      <w:proofErr w:type="spellEnd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bệnh</w:t>
      </w:r>
      <w:proofErr w:type="spellEnd"/>
    </w:p>
    <w:p w14:paraId="593CC656" w14:textId="01457A33" w:rsidR="00F80D66" w:rsidRPr="003A06A0" w:rsidRDefault="00F80D66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02/2017/NĐ-CP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bởi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09/2025/NĐ-CP)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vùng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tai,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dịch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bệnh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bao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gồm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bón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thuốc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thú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y...).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đợt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bùng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dịch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châu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Phi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2019,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793/QĐ-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TTg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kịp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nuôi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0B91BC9E" w14:textId="77777777" w:rsidR="00F80D66" w:rsidRPr="003A06A0" w:rsidRDefault="00F80D66" w:rsidP="00F80D66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Thành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tựu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:</w:t>
      </w:r>
    </w:p>
    <w:p w14:paraId="508A2BC7" w14:textId="616DB1F2" w:rsidR="00F80D66" w:rsidRPr="003A06A0" w:rsidRDefault="00F80D66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Sau 5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02,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tổng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5.210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tỷ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giúp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bước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Tuy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thấy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kéo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70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kịp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gồm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...),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nuôi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5FBE4A88" w14:textId="7770857F" w:rsidR="00F80D66" w:rsidRPr="00B30FC7" w:rsidRDefault="00215FE2" w:rsidP="00215FE2">
      <w:pPr>
        <w:pStyle w:val="Heading2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2.</w:t>
      </w:r>
      <w:r w:rsidR="001B784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2</w:t>
      </w:r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="00F80D66"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Nhóm</w:t>
      </w:r>
      <w:proofErr w:type="spellEnd"/>
      <w:r w:rsidR="00F80D66"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chính</w:t>
      </w:r>
      <w:proofErr w:type="spellEnd"/>
      <w:r w:rsidR="00F80D66"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sách</w:t>
      </w:r>
      <w:proofErr w:type="spellEnd"/>
      <w:r w:rsidR="00F80D66"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hỗ</w:t>
      </w:r>
      <w:proofErr w:type="spellEnd"/>
      <w:r w:rsidR="00F80D66"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trợ</w:t>
      </w:r>
      <w:proofErr w:type="spellEnd"/>
      <w:r w:rsidR="00F80D66"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gián</w:t>
      </w:r>
      <w:proofErr w:type="spellEnd"/>
      <w:r w:rsidR="00F80D66"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tiếp</w:t>
      </w:r>
      <w:proofErr w:type="spellEnd"/>
    </w:p>
    <w:p w14:paraId="223E2A0F" w14:textId="688F8254" w:rsidR="00F80D66" w:rsidRPr="00B30FC7" w:rsidRDefault="00215FE2" w:rsidP="00215FE2">
      <w:pPr>
        <w:pStyle w:val="Heading3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a.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sách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phát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triển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cơ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sở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hạ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tầng</w:t>
      </w:r>
      <w:proofErr w:type="spellEnd"/>
    </w:p>
    <w:p w14:paraId="4B239881" w14:textId="6487BE0F" w:rsidR="00F80D66" w:rsidRPr="003A06A0" w:rsidRDefault="00F80D66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sở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tầng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ưu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quốc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lastRenderedPageBreak/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800/QĐ-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TTg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, 1600/QĐ-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TTg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263/QĐ-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TTg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). 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lĩnh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trọng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gồm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trạm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y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Riêng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lĩnh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77/2018/NĐ-CP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khuyến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nhỏ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kiệm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2F9E643B" w14:textId="77777777" w:rsidR="00F80D66" w:rsidRPr="003A06A0" w:rsidRDefault="00F80D66" w:rsidP="00F80D66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Thành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tựu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:</w:t>
      </w:r>
    </w:p>
    <w:p w14:paraId="183E6DD0" w14:textId="469334B8" w:rsidR="00F80D66" w:rsidRPr="003A06A0" w:rsidRDefault="00F80D66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2023,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7.000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hồ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chứa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tổng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kênh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261.000 km (35%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rõ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tỷ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bê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hóa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càng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Tuy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cấu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trung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(73%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tổng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vốn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NN&amp;PTNT)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2E07866D" w14:textId="610C8ED6" w:rsidR="00F80D66" w:rsidRPr="00B30FC7" w:rsidRDefault="00215FE2" w:rsidP="00215FE2">
      <w:pPr>
        <w:pStyle w:val="Heading3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b.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sách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bảo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hiểm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nông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nghiệp</w:t>
      </w:r>
      <w:proofErr w:type="spellEnd"/>
    </w:p>
    <w:p w14:paraId="73948ACC" w14:textId="39D0955D" w:rsidR="00F80D66" w:rsidRPr="003A06A0" w:rsidRDefault="00F80D66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Sau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dừng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khởi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58/2018/NĐ-CP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13/2022/QĐ-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TTg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gồm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lúa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hồ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phê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trâu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bò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tôm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sú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tôm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thẻ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trắng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90%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nghèo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nghèo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20%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249DBBA8" w14:textId="77777777" w:rsidR="00F80D66" w:rsidRPr="003A06A0" w:rsidRDefault="00F80D66" w:rsidP="00F80D66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Thành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tựu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:</w:t>
      </w:r>
    </w:p>
    <w:p w14:paraId="526D98D7" w14:textId="11FEE0A9" w:rsidR="00F80D66" w:rsidRPr="003A06A0" w:rsidRDefault="00F80D66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nay,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doanh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tham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(Bảo Việt, Bảo Minh, ABIC)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phạm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Nguyên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phẩm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khấu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30-40%),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thói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quen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tham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2022,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dịch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518D5EEC" w14:textId="728E6E0D" w:rsidR="00F80D66" w:rsidRPr="003A06A0" w:rsidRDefault="00F80D66" w:rsidP="00F80D66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thị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trường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thương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mại</w:t>
      </w:r>
      <w:proofErr w:type="spellEnd"/>
    </w:p>
    <w:p w14:paraId="35A2761A" w14:textId="5D20EC85" w:rsidR="00F80D66" w:rsidRPr="003A06A0" w:rsidRDefault="00F80D66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trung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do (FTA),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xúc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tầng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biểu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12/2019/QĐ-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TTg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xúc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quốc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50-100% chi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tham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lãm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98/2018/NĐ-CP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khuyến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gắn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34999A97" w14:textId="77777777" w:rsidR="00F80D66" w:rsidRPr="003A06A0" w:rsidRDefault="00F80D66" w:rsidP="00F80D66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Thành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tựu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:</w:t>
      </w:r>
    </w:p>
    <w:p w14:paraId="50200C20" w14:textId="531E97A3" w:rsidR="00F80D66" w:rsidRPr="003A06A0" w:rsidRDefault="00F80D66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Việt Nam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15 FTA,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mở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khẩu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200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quốc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khẩu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NLTS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2020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41,36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tỷ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USD. Tuy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FTA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yếu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kém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xúc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khoảng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15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tỷ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/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1/10 so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Thái Lan.</w:t>
      </w:r>
    </w:p>
    <w:p w14:paraId="787E0EB9" w14:textId="6DA28BBF" w:rsidR="00F80D66" w:rsidRPr="00B30FC7" w:rsidRDefault="00215FE2" w:rsidP="00215FE2">
      <w:pPr>
        <w:pStyle w:val="Heading3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c.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sách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hỗ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trợ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phát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triển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hợp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tác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liên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kết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sản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xuất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theo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chuỗi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giá</w:t>
      </w:r>
      <w:proofErr w:type="spellEnd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D66" w:rsidRPr="00B30FC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trị</w:t>
      </w:r>
      <w:proofErr w:type="spellEnd"/>
    </w:p>
    <w:p w14:paraId="32A38EB0" w14:textId="0FD8154D" w:rsidR="00F80D66" w:rsidRPr="003A06A0" w:rsidRDefault="00F80D66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Luật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2012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Luật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2023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98/2018/NĐ-CP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trọng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vấn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tầng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30%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vốn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khuyến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lastRenderedPageBreak/>
        <w:t>giống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bao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bì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...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Ngoài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57/2018/NĐ-CP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khuyến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doanh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47A5B40E" w14:textId="77777777" w:rsidR="00F80D66" w:rsidRPr="003A06A0" w:rsidRDefault="00F80D66" w:rsidP="00F80D66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Thành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tựu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:</w:t>
      </w:r>
    </w:p>
    <w:p w14:paraId="59BE5D45" w14:textId="3AF946D1" w:rsidR="00F80D66" w:rsidRPr="003A06A0" w:rsidRDefault="00F80D66" w:rsidP="00F80D66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2023,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20.700 HTX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hút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khoảng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3,4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Tuy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HTX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Theo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9%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tham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HTX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4,8%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doanh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Nguyên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98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30%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tầng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100%);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HTX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yếu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30AAA1DD" w14:textId="25612BA3" w:rsidR="00215FE2" w:rsidRPr="00B30FC7" w:rsidRDefault="00215FE2" w:rsidP="00215FE2">
      <w:pPr>
        <w:pStyle w:val="Heading1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Khó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khăn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trong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thực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sách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nhân</w:t>
      </w:r>
      <w:proofErr w:type="spellEnd"/>
    </w:p>
    <w:p w14:paraId="2B74209A" w14:textId="72F7F840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lâm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(NLTS)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toàn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nhưng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</w:p>
    <w:p w14:paraId="21137057" w14:textId="773A52D7" w:rsidR="00215FE2" w:rsidRPr="00B30FC7" w:rsidRDefault="00215FE2" w:rsidP="00215FE2">
      <w:pPr>
        <w:pStyle w:val="Heading2"/>
        <w:numPr>
          <w:ilvl w:val="1"/>
          <w:numId w:val="2"/>
        </w:numP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proofErr w:type="spellStart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Khó</w:t>
      </w:r>
      <w:proofErr w:type="spellEnd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khăn</w:t>
      </w:r>
      <w:proofErr w:type="spellEnd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trong</w:t>
      </w:r>
      <w:proofErr w:type="spellEnd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tổ</w:t>
      </w:r>
      <w:proofErr w:type="spellEnd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chức</w:t>
      </w:r>
      <w:proofErr w:type="spellEnd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thực</w:t>
      </w:r>
      <w:proofErr w:type="spellEnd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hiện</w:t>
      </w:r>
      <w:proofErr w:type="spellEnd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chính</w:t>
      </w:r>
      <w:proofErr w:type="spellEnd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sách</w:t>
      </w:r>
      <w:proofErr w:type="spellEnd"/>
    </w:p>
    <w:p w14:paraId="01C97C85" w14:textId="73C4933A" w:rsidR="00215FE2" w:rsidRPr="003A06A0" w:rsidRDefault="00215FE2" w:rsidP="00215FE2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Chậm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trễ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ban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hành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văn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bản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bộ</w:t>
      </w:r>
      <w:proofErr w:type="spellEnd"/>
    </w:p>
    <w:p w14:paraId="7AD7E8D6" w14:textId="13890A54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những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chậm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trễ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Trung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nhưng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chậm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lúng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túng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98/2018/NĐ-CP)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khuyến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doanh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57/2018/NĐ-CP),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1–2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1EA9963B" w14:textId="0B5DF4B0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tầng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(HTX)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98/2018/NĐ-CP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30%,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1804/QĐ-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TTg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phép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100%.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lúng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túng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6AF5107A" w14:textId="749251D2" w:rsidR="00215FE2" w:rsidRPr="003A06A0" w:rsidRDefault="00215FE2" w:rsidP="00215FE2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Thủ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tục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hành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phức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tạp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rườm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rà</w:t>
      </w:r>
      <w:proofErr w:type="spellEnd"/>
    </w:p>
    <w:p w14:paraId="6C6B57D8" w14:textId="2C59DBD4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chuẩn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loại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giấy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tờ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qua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khâu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kéo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trung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9,85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13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yêu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hóa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vùng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sâu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vùng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xa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hóa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7E51B63A" w14:textId="45ED3083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tai,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dịch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bệnh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kéo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70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kịp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nghĩa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tỉnh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Tuyên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Quang chia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sẻ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: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Chúng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tôi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chờ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lâu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kịp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giảm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sút</w:t>
      </w:r>
      <w:proofErr w:type="spellEnd"/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1FC8C649" w14:textId="749D405A" w:rsidR="00215FE2" w:rsidRPr="003A06A0" w:rsidRDefault="00215FE2" w:rsidP="00215FE2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lastRenderedPageBreak/>
        <w:t>Phân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bổ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ngân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nguồn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lực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lý</w:t>
      </w:r>
      <w:proofErr w:type="spellEnd"/>
    </w:p>
    <w:p w14:paraId="5DC135D3" w14:textId="4FBAAF8F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nhưng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bổ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vùng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những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tỉnh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thuộc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Trung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tỉnh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phép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nguồn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xúc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khoảng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15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tỷ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/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1/10 so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Thái Lan,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mô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khẩu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583AC9AD" w14:textId="47EDEC52" w:rsidR="00215FE2" w:rsidRPr="003A06A0" w:rsidRDefault="00215FE2" w:rsidP="00215FE2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giám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sát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đánh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hiệu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quả</w:t>
      </w:r>
      <w:proofErr w:type="spellEnd"/>
    </w:p>
    <w:p w14:paraId="5D4D8F2F" w14:textId="3899C594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nhưng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dõi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mang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bổ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kịp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gặp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Sở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NN&amp;PTNT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tỉnh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Quảng Ninh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: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nay,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chúng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tôi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dõi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, HTX</w:t>
      </w:r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037AF6DD" w14:textId="1245B7BD" w:rsidR="00215FE2" w:rsidRPr="00B30FC7" w:rsidRDefault="00215FE2" w:rsidP="00215FE2">
      <w:pPr>
        <w:pStyle w:val="Heading2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B30FC7">
        <w:rPr>
          <w:rStyle w:val="Heading2Char"/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3.2. Nguyên </w:t>
      </w:r>
      <w:proofErr w:type="spellStart"/>
      <w:r w:rsidRPr="00B30FC7">
        <w:rPr>
          <w:rStyle w:val="Heading2Char"/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nhân</w:t>
      </w:r>
      <w:proofErr w:type="spellEnd"/>
      <w:r w:rsidRPr="00B30FC7">
        <w:rPr>
          <w:rStyle w:val="Heading2Char"/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Style w:val="Heading2Char"/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của</w:t>
      </w:r>
      <w:proofErr w:type="spellEnd"/>
      <w:r w:rsidRPr="00B30FC7">
        <w:rPr>
          <w:rStyle w:val="Heading2Char"/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Style w:val="Heading2Char"/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những</w:t>
      </w:r>
      <w:proofErr w:type="spellEnd"/>
      <w:r w:rsidRPr="00B30FC7">
        <w:rPr>
          <w:rStyle w:val="Heading2Char"/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Style w:val="Heading2Char"/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khó</w:t>
      </w:r>
      <w:proofErr w:type="spellEnd"/>
      <w:r w:rsidRPr="00B30FC7">
        <w:rPr>
          <w:rStyle w:val="Heading2Char"/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Style w:val="Heading2Char"/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khăn</w:t>
      </w:r>
      <w:proofErr w:type="spellEnd"/>
    </w:p>
    <w:p w14:paraId="1F5D2845" w14:textId="44F874A3" w:rsidR="00215FE2" w:rsidRPr="003A06A0" w:rsidRDefault="00215FE2" w:rsidP="00215FE2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Nguyên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nhân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thiết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kế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sách</w:t>
      </w:r>
      <w:proofErr w:type="spellEnd"/>
    </w:p>
    <w:p w14:paraId="203DA6EA" w14:textId="1C286314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nhắc</w:t>
      </w:r>
      <w:proofErr w:type="spellEnd"/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vùng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vùng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miền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núi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vùng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sâu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vùng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xa.</w:t>
      </w:r>
    </w:p>
    <w:p w14:paraId="44ABA0FF" w14:textId="20005397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ghép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nhưng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chéo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nguồn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nguồn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nhau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1956,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quốc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khuyến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nhưng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12F1F2B7" w14:textId="0AE6350D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kịp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5</w:t>
      </w:r>
      <w:r w:rsidR="00B30FC7">
        <w:rPr>
          <w:rFonts w:cs="Times New Roman"/>
          <w:color w:val="000000" w:themeColor="text1"/>
          <w:sz w:val="26"/>
          <w:szCs w:val="26"/>
        </w:rPr>
        <w:t>-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7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trước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nay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66F922FB" w14:textId="1CA2BD71" w:rsidR="00215FE2" w:rsidRPr="003A06A0" w:rsidRDefault="00215FE2" w:rsidP="00215FE2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Nguyên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nhân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năng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lực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thi</w:t>
      </w:r>
      <w:proofErr w:type="spellEnd"/>
    </w:p>
    <w:p w14:paraId="226066B9" w14:textId="2A4A6933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ngũ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Ở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kiêm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nhiệm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vấn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rõ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3BA2DFD5" w14:textId="03B29881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Sở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NN&amp;PTNT,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Sở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Tài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Ngân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Liên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HTX...)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chậm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đôi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chéo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7271CD76" w14:textId="75915192" w:rsidR="00215FE2" w:rsidRPr="003A06A0" w:rsidRDefault="00215FE2" w:rsidP="00215FE2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Nguyên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nhân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phía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dân</w:t>
      </w:r>
      <w:proofErr w:type="spellEnd"/>
    </w:p>
    <w:p w14:paraId="53050D30" w14:textId="62F33D88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lastRenderedPageBreak/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vấn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nguyên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trọng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thấy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64,3%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tỷ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chuyên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NLTS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chiếm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63,7%.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ảnh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hưởng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tin,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09C23040" w14:textId="63872EAF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Ngoài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tâm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e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muốn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tham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HTX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vì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muốn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vốn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vì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tham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huấn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vì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ích</w:t>
      </w:r>
      <w:proofErr w:type="spellEnd"/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tỉnh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Quảng Ninh chia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sẻ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: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do,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gì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nấy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đóng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cứ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khoản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HTX,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đóng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chắc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phẩm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kênh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thụ</w:t>
      </w:r>
      <w:proofErr w:type="spellEnd"/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79C1BC4C" w14:textId="2E8C83F0" w:rsidR="00215FE2" w:rsidRPr="003A06A0" w:rsidRDefault="00215FE2" w:rsidP="00215FE2">
      <w:pPr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Nguyên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nhân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khách</w:t>
      </w:r>
      <w:proofErr w:type="spellEnd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i/>
          <w:iCs/>
          <w:color w:val="000000" w:themeColor="text1"/>
          <w:sz w:val="26"/>
          <w:szCs w:val="26"/>
        </w:rPr>
        <w:t>quan</w:t>
      </w:r>
      <w:proofErr w:type="spellEnd"/>
    </w:p>
    <w:p w14:paraId="74582AB0" w14:textId="5FAE5598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đổi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hậu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tai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càng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rủi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giảm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tầng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hỏng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sau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lũ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ảnh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hưởng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người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7B4E9475" w14:textId="756AA55C" w:rsidR="00215FE2" w:rsidRPr="003A06A0" w:rsidRDefault="00215FE2" w:rsidP="00215FE2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tranh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quốc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do (FTA)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mở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nhưng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đòi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hỏi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Việt Nam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chuẩn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gramStart"/>
      <w:r w:rsidRPr="003A06A0">
        <w:rPr>
          <w:rFonts w:cs="Times New Roman"/>
          <w:color w:val="000000" w:themeColor="text1"/>
          <w:sz w:val="26"/>
          <w:szCs w:val="26"/>
        </w:rPr>
        <w:t>an</w:t>
      </w:r>
      <w:proofErr w:type="gram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toàn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phẩm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nguồn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gốc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càng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Trong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chuẩn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còn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chậm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5E4644AC" w14:textId="4D3F9527" w:rsidR="003A06A0" w:rsidRPr="00B30FC7" w:rsidRDefault="003A06A0" w:rsidP="003A06A0">
      <w:pPr>
        <w:pStyle w:val="Heading1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Định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hướng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hoàn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thiện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sách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giải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pháp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trọng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tâm</w:t>
      </w:r>
      <w:proofErr w:type="spellEnd"/>
    </w:p>
    <w:p w14:paraId="44DD1C91" w14:textId="2EFACC9D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những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hoàn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lâm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cần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lớn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nâng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đảm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gắn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yêu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vững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trọng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tâm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719DB559" w14:textId="18E5B598" w:rsidR="003A06A0" w:rsidRPr="003A06A0" w:rsidRDefault="003A06A0" w:rsidP="003A06A0">
      <w:pPr>
        <w:ind w:firstLine="709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Định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chung</w:t>
      </w:r>
      <w:proofErr w:type="spellEnd"/>
    </w:p>
    <w:p w14:paraId="095286E2" w14:textId="0DECBD63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chuyển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 sang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cầu</w:t>
      </w:r>
      <w:proofErr w:type="spellEnd"/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kiện</w:t>
      </w:r>
      <w:proofErr w:type="spellEnd"/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đảm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nguồn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trung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đúng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đúng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đẩy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hóa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trùng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lắp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Trung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sở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gắn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yêu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hóa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giảm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tuân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3E0D4FD6" w14:textId="69C10639" w:rsidR="003A06A0" w:rsidRPr="003A06A0" w:rsidRDefault="003A06A0" w:rsidP="003A06A0">
      <w:pPr>
        <w:ind w:firstLine="709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Các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giải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pháp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trọng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tâm</w:t>
      </w:r>
      <w:proofErr w:type="spellEnd"/>
    </w:p>
    <w:p w14:paraId="1FBCA660" w14:textId="2330B13B" w:rsidR="003A06A0" w:rsidRPr="003A06A0" w:rsidRDefault="003A06A0" w:rsidP="003A06A0">
      <w:pPr>
        <w:ind w:firstLine="709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1. Hoàn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thiện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-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hiểm</w:t>
      </w:r>
      <w:proofErr w:type="spellEnd"/>
    </w:p>
    <w:p w14:paraId="23477E5A" w14:textId="2D6F443B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Sửa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đổi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55/2015/NĐ-CP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116/2018/NĐ-CP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nâng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200</w:t>
      </w:r>
      <w:r w:rsidR="00B30FC7">
        <w:rPr>
          <w:rFonts w:cs="Times New Roman"/>
          <w:color w:val="000000" w:themeColor="text1"/>
          <w:sz w:val="26"/>
          <w:szCs w:val="26"/>
        </w:rPr>
        <w:t>-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300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kéo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ngắn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24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trung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84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08C7157F" w14:textId="3761C504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lastRenderedPageBreak/>
        <w:t>Thí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tham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</w:t>
      </w:r>
      <w:r w:rsidR="00B30FC7">
        <w:rPr>
          <w:rFonts w:cs="Times New Roman"/>
          <w:color w:val="000000" w:themeColor="text1"/>
          <w:sz w:val="26"/>
          <w:szCs w:val="26"/>
        </w:rPr>
        <w:t>-</w:t>
      </w:r>
      <w:r w:rsidRPr="003A06A0">
        <w:rPr>
          <w:rFonts w:cs="Times New Roman"/>
          <w:color w:val="000000" w:themeColor="text1"/>
          <w:sz w:val="26"/>
          <w:szCs w:val="26"/>
        </w:rPr>
        <w:t>2%/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coi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339737B8" w14:textId="53B1DC42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chuỗi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dựa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HTX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doanh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4B415F37" w14:textId="77777777" w:rsidR="003A06A0" w:rsidRPr="003A06A0" w:rsidRDefault="003A06A0" w:rsidP="003A06A0">
      <w:pPr>
        <w:ind w:firstLine="709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Cải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cách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xuất</w:t>
      </w:r>
      <w:proofErr w:type="spellEnd"/>
    </w:p>
    <w:p w14:paraId="25EEA4DD" w14:textId="7B71F566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soát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bón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thuốc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BVTV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bổ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cảnh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1C02931C" w14:textId="633DEB0D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hóa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phép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mặt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vì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kịp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29D24CE0" w14:textId="77777777" w:rsidR="003A06A0" w:rsidRPr="003A06A0" w:rsidRDefault="003A06A0" w:rsidP="003A06A0">
      <w:pPr>
        <w:ind w:firstLine="709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3.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cao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chất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lượng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kỹ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thuật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tạo</w:t>
      </w:r>
      <w:proofErr w:type="spellEnd"/>
    </w:p>
    <w:p w14:paraId="03DBED98" w14:textId="1BBE4444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chuỗi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273686E2" w14:textId="597CD8B6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tuyến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cung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cấp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di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lao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6D7E3253" w14:textId="29369C35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Tổ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lớp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huấn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lưu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để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tránh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trùng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mùa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vụ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1D5D9B8E" w14:textId="77777777" w:rsidR="003A06A0" w:rsidRPr="003A06A0" w:rsidRDefault="003A06A0" w:rsidP="003A06A0">
      <w:pPr>
        <w:ind w:firstLine="709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4.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Tăng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cường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hiệu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quả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hạ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tầng</w:t>
      </w:r>
      <w:proofErr w:type="spellEnd"/>
    </w:p>
    <w:p w14:paraId="2B2564BD" w14:textId="17E98F9C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cấu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ưu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nguồn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trục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hệ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kiệm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nước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tầng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29A4C484" w14:textId="13A8FE44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Khuyến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r w:rsidR="00B30FC7">
        <w:rPr>
          <w:rFonts w:cs="Times New Roman"/>
          <w:color w:val="000000" w:themeColor="text1"/>
          <w:sz w:val="26"/>
          <w:szCs w:val="26"/>
        </w:rPr>
        <w:t>-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(PPP)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3113B619" w14:textId="77777777" w:rsidR="003A06A0" w:rsidRPr="003A06A0" w:rsidRDefault="003A06A0" w:rsidP="003A06A0">
      <w:pPr>
        <w:ind w:firstLine="709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5. Hoàn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thiện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giảm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nhẹ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rủi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ro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thiên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tai,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dịch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bệnh</w:t>
      </w:r>
      <w:proofErr w:type="spellEnd"/>
    </w:p>
    <w:p w14:paraId="5C3DB51F" w14:textId="07D44748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Sửa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đổi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02/2017/NĐ-CP (nay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09/2025/NĐ-CP)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rút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ngắn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thiệt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bổ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đặc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thù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11CF7ACC" w14:textId="27364EC9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Mở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thêm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rủi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đổi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hậu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xâm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mặn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diện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5FA6A957" w14:textId="77777777" w:rsidR="003A06A0" w:rsidRPr="003A06A0" w:rsidRDefault="003A06A0" w:rsidP="003A06A0">
      <w:pPr>
        <w:ind w:firstLine="709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6.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thị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trường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chuỗi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b/>
          <w:bCs/>
          <w:color w:val="000000" w:themeColor="text1"/>
          <w:sz w:val="26"/>
          <w:szCs w:val="26"/>
        </w:rPr>
        <w:t>trị</w:t>
      </w:r>
      <w:proofErr w:type="spellEnd"/>
    </w:p>
    <w:p w14:paraId="17BB6884" w14:textId="6C3DD1D4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98/2018/NĐ-CP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1804/QĐ-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TTg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),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đơn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hóa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hồ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kéo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0BA557BD" w14:textId="2973794F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hỗ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nối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doanh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khẩu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26161910" w14:textId="77777777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Tăng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sách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xúc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trung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thương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quốc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lý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./. </w:t>
      </w:r>
    </w:p>
    <w:p w14:paraId="2B6346CC" w14:textId="7FD83FD7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lastRenderedPageBreak/>
        <w:br/>
      </w:r>
    </w:p>
    <w:p w14:paraId="2A17E8B9" w14:textId="0E0CC80E" w:rsidR="003A06A0" w:rsidRPr="00B30FC7" w:rsidRDefault="003A06A0" w:rsidP="003A06A0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Tài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liệu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tham</w:t>
      </w:r>
      <w:proofErr w:type="spellEnd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30F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khảo</w:t>
      </w:r>
      <w:proofErr w:type="spellEnd"/>
    </w:p>
    <w:p w14:paraId="07C33829" w14:textId="05502AB8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Khôi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P. Đ. (2022). Các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yếu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ảnh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hưởng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tham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bảo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cây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lúa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Cửu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Long.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Khoa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Trường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Cần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Thơ.</w:t>
      </w:r>
    </w:p>
    <w:p w14:paraId="1F593736" w14:textId="233A2E55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Lan, P. M. (2021).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tai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biến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đổi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hậu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tới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thủy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khu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miền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Trung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Tây Nguyên.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Khoa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Quốc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Hà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401CE058" w14:textId="4F7F4008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Ninh, L. K., &amp; Dương, P. V. (2011).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tích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yếu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tố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quyết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vốn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tín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thức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dân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ở An Giang.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Ngân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2CE1B378" w14:textId="679AE35D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Phán, N. T. (2019).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cung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ứng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nuôi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tôm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hiệu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sản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xuất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: Trường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cứu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Quảng Ngạn,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huyện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Quảng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Điền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Khoa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Đại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Huế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>.</w:t>
      </w:r>
    </w:p>
    <w:p w14:paraId="20550E5F" w14:textId="29D2A42F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Quốc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Việt Nam. (2024).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tư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phải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sự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giữ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vai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trò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dẫn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dắt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thúc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đẩy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bền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vững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http://quochoi.vn</w:t>
      </w:r>
    </w:p>
    <w:p w14:paraId="413D873F" w14:textId="3E18D671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Tạp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Ngân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hàng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(2024). Bảo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hiểm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: </w:t>
      </w:r>
      <w:r w:rsidR="00B30FC7">
        <w:rPr>
          <w:rFonts w:cs="Times New Roman"/>
          <w:color w:val="000000" w:themeColor="text1"/>
          <w:sz w:val="26"/>
          <w:szCs w:val="26"/>
        </w:rPr>
        <w:t>“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Lá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chắn</w:t>
      </w:r>
      <w:proofErr w:type="spellEnd"/>
      <w:r w:rsidR="00B30FC7">
        <w:rPr>
          <w:rFonts w:cs="Times New Roman"/>
          <w:color w:val="000000" w:themeColor="text1"/>
          <w:sz w:val="26"/>
          <w:szCs w:val="26"/>
        </w:rPr>
        <w:t>”</w:t>
      </w:r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tài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chính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trước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rủi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ro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tai.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http://tapchinganhang.gov.vn</w:t>
      </w:r>
    </w:p>
    <w:p w14:paraId="1C7CA21E" w14:textId="7DE6F87D" w:rsidR="003A06A0" w:rsidRPr="003A06A0" w:rsidRDefault="003A06A0" w:rsidP="003A06A0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3A06A0">
        <w:rPr>
          <w:rFonts w:cs="Times New Roman"/>
          <w:color w:val="000000" w:themeColor="text1"/>
          <w:sz w:val="26"/>
          <w:szCs w:val="26"/>
        </w:rPr>
        <w:t xml:space="preserve">Thông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tấn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Việt Nam. (2023).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mô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tế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nông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chuỗi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trị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Truy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cập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06A0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3A06A0">
        <w:rPr>
          <w:rFonts w:cs="Times New Roman"/>
          <w:color w:val="000000" w:themeColor="text1"/>
          <w:sz w:val="26"/>
          <w:szCs w:val="26"/>
        </w:rPr>
        <w:t xml:space="preserve"> http://vietnamplus.vn</w:t>
      </w:r>
    </w:p>
    <w:sectPr w:rsidR="003A06A0" w:rsidRPr="003A06A0" w:rsidSect="00B3648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5951"/>
    <w:multiLevelType w:val="multilevel"/>
    <w:tmpl w:val="253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376D030B"/>
    <w:multiLevelType w:val="hybridMultilevel"/>
    <w:tmpl w:val="F85C91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6432A"/>
    <w:multiLevelType w:val="hybridMultilevel"/>
    <w:tmpl w:val="33F81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A5832"/>
    <w:multiLevelType w:val="hybridMultilevel"/>
    <w:tmpl w:val="63E85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717741">
    <w:abstractNumId w:val="3"/>
  </w:num>
  <w:num w:numId="2" w16cid:durableId="1150564041">
    <w:abstractNumId w:val="0"/>
  </w:num>
  <w:num w:numId="3" w16cid:durableId="931277760">
    <w:abstractNumId w:val="2"/>
  </w:num>
  <w:num w:numId="4" w16cid:durableId="22564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9A"/>
    <w:rsid w:val="000560C2"/>
    <w:rsid w:val="001B784F"/>
    <w:rsid w:val="00215FE2"/>
    <w:rsid w:val="002E521B"/>
    <w:rsid w:val="00302B4E"/>
    <w:rsid w:val="003A06A0"/>
    <w:rsid w:val="00484D4C"/>
    <w:rsid w:val="00597A8F"/>
    <w:rsid w:val="005F41F0"/>
    <w:rsid w:val="00644912"/>
    <w:rsid w:val="006E19E6"/>
    <w:rsid w:val="00737332"/>
    <w:rsid w:val="008F224C"/>
    <w:rsid w:val="00987506"/>
    <w:rsid w:val="00AE4CD4"/>
    <w:rsid w:val="00AF112D"/>
    <w:rsid w:val="00B20F80"/>
    <w:rsid w:val="00B23F9A"/>
    <w:rsid w:val="00B30FC7"/>
    <w:rsid w:val="00B36489"/>
    <w:rsid w:val="00B52A04"/>
    <w:rsid w:val="00B70D35"/>
    <w:rsid w:val="00D7419D"/>
    <w:rsid w:val="00D941A3"/>
    <w:rsid w:val="00F8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6034"/>
  <w15:chartTrackingRefBased/>
  <w15:docId w15:val="{0B375689-B933-4167-B1D7-71890E34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3F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F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F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F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F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F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F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3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3F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F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F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F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F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F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F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F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F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3371</Words>
  <Characters>19218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Kiên Nguyễn</dc:creator>
  <cp:keywords/>
  <dc:description/>
  <cp:lastModifiedBy>Hoa Nguyen</cp:lastModifiedBy>
  <cp:revision>3</cp:revision>
  <dcterms:created xsi:type="dcterms:W3CDTF">2026-03-27T07:38:00Z</dcterms:created>
  <dcterms:modified xsi:type="dcterms:W3CDTF">2026-03-27T07:41:00Z</dcterms:modified>
</cp:coreProperties>
</file>